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B530F" w:rsidRPr="002B530F" w:rsidRDefault="002B530F">
      <w:pPr>
        <w:rPr>
          <w:b/>
          <w:bCs/>
          <w:sz w:val="36"/>
          <w:szCs w:val="36"/>
        </w:rPr>
      </w:pPr>
      <w:r w:rsidRPr="002B530F">
        <w:rPr>
          <w:b/>
          <w:bCs/>
          <w:sz w:val="36"/>
          <w:szCs w:val="36"/>
        </w:rPr>
        <w:t>Polizze vita e beneficiari eredi legittimi 09-03-23</w:t>
      </w:r>
    </w:p>
    <w:p w:rsidR="002B530F" w:rsidRPr="002B530F" w:rsidRDefault="002B530F">
      <w:pPr>
        <w:rPr>
          <w:sz w:val="28"/>
          <w:szCs w:val="28"/>
        </w:rPr>
      </w:pPr>
    </w:p>
    <w:p w:rsidR="002B530F" w:rsidRPr="002B530F" w:rsidRDefault="002B530F">
      <w:pPr>
        <w:rPr>
          <w:sz w:val="28"/>
          <w:szCs w:val="28"/>
        </w:rPr>
      </w:pPr>
      <w:r w:rsidRPr="002B530F">
        <w:rPr>
          <w:sz w:val="28"/>
          <w:szCs w:val="28"/>
        </w:rPr>
        <w:t xml:space="preserve">Se in un contratto di assicurazione sulla vita il contraente indica quali beneficiari i propri «eredi legittimi»: </w:t>
      </w:r>
    </w:p>
    <w:p w:rsidR="002B530F" w:rsidRPr="002B530F" w:rsidRDefault="002B530F">
      <w:pPr>
        <w:rPr>
          <w:sz w:val="28"/>
          <w:szCs w:val="28"/>
        </w:rPr>
      </w:pPr>
      <w:r w:rsidRPr="002B530F">
        <w:rPr>
          <w:sz w:val="28"/>
          <w:szCs w:val="28"/>
        </w:rPr>
        <w:t xml:space="preserve">essi sono coloro che astrattamente sarebbero eredi se accettassero l’eredità (e, quindi, la prestazione dell’assicuratore loro spetta a prescindere dal fatto che essi accettino l’eredità o vi rinuncino); essi dividono l’indennizzo assicurativo “per teste” e non in base alle quote ereditarie; infine, se uno dei beneficiari premuore rispetto alla morte del soggetto assicurato, la prestazione dell’assicuratore si ripartisce secondo le quote spettanti a ciascun erede nella successione del beneficiario premorto. </w:t>
      </w:r>
      <w:r w:rsidRPr="002B530F">
        <w:rPr>
          <w:sz w:val="28"/>
          <w:szCs w:val="28"/>
        </w:rPr>
        <w:t>Ù</w:t>
      </w:r>
    </w:p>
    <w:p w:rsidR="000C5771" w:rsidRPr="002B530F" w:rsidRDefault="002B530F">
      <w:pPr>
        <w:rPr>
          <w:sz w:val="28"/>
          <w:szCs w:val="28"/>
        </w:rPr>
      </w:pPr>
      <w:r w:rsidRPr="002B530F">
        <w:rPr>
          <w:sz w:val="28"/>
          <w:szCs w:val="28"/>
        </w:rPr>
        <w:t>È questa la decisione cui le Sezioni Unite della Cassazione giungono nella sentenza 11421/2021 risolvendo il contrasto sul tema della polizza di assicurazione sulla vita nella quale il contraente individua i beneficiari dell’indennizzo assicurativo con espressioni del tipo «i miei eredi» o «i miei eredi legittimi».</w:t>
      </w:r>
    </w:p>
    <w:sectPr w:rsidR="000C5771" w:rsidRPr="002B53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30F"/>
    <w:rsid w:val="000C5771"/>
    <w:rsid w:val="002B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EA158"/>
  <w15:chartTrackingRefBased/>
  <w15:docId w15:val="{D9810FEF-3165-4ECD-BA1E-1CFC3FE79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Bonadei</dc:creator>
  <cp:keywords/>
  <dc:description/>
  <cp:lastModifiedBy>Andrea Bonadei</cp:lastModifiedBy>
  <cp:revision>1</cp:revision>
  <dcterms:created xsi:type="dcterms:W3CDTF">2023-03-09T07:23:00Z</dcterms:created>
  <dcterms:modified xsi:type="dcterms:W3CDTF">2023-03-09T07:24:00Z</dcterms:modified>
</cp:coreProperties>
</file>