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36D37" w14:textId="77777777" w:rsidR="009F2F61" w:rsidRPr="009F2F61" w:rsidRDefault="009F2F61" w:rsidP="009F2F61">
      <w:pPr>
        <w:jc w:val="center"/>
        <w:rPr>
          <w:b/>
          <w:bCs/>
          <w:sz w:val="40"/>
          <w:szCs w:val="40"/>
        </w:rPr>
      </w:pPr>
      <w:r w:rsidRPr="009F2F61">
        <w:rPr>
          <w:b/>
          <w:bCs/>
          <w:sz w:val="40"/>
          <w:szCs w:val="40"/>
        </w:rPr>
        <w:t>Allianz, nel primo trimestre utili netti a -29%</w:t>
      </w:r>
    </w:p>
    <w:p w14:paraId="059D16FB" w14:textId="5CDA468F" w:rsidR="009F2F61" w:rsidRPr="009F2F61" w:rsidRDefault="009F2F61" w:rsidP="009F2F61">
      <w:pPr>
        <w:jc w:val="center"/>
        <w:rPr>
          <w:b/>
          <w:bCs/>
          <w:sz w:val="40"/>
          <w:szCs w:val="40"/>
        </w:rPr>
      </w:pPr>
      <w:r w:rsidRPr="009F2F61">
        <w:rPr>
          <w:b/>
          <w:bCs/>
          <w:sz w:val="40"/>
          <w:szCs w:val="40"/>
        </w:rPr>
        <w:t xml:space="preserve">12 </w:t>
      </w:r>
      <w:proofErr w:type="gramStart"/>
      <w:r w:rsidRPr="009F2F61">
        <w:rPr>
          <w:b/>
          <w:bCs/>
          <w:sz w:val="40"/>
          <w:szCs w:val="40"/>
        </w:rPr>
        <w:t>Maggio</w:t>
      </w:r>
      <w:proofErr w:type="gramEnd"/>
      <w:r w:rsidRPr="009F2F61">
        <w:rPr>
          <w:b/>
          <w:bCs/>
          <w:sz w:val="40"/>
          <w:szCs w:val="40"/>
        </w:rPr>
        <w:t xml:space="preserve"> 2020, di Mariangela Tessa</w:t>
      </w:r>
    </w:p>
    <w:p w14:paraId="768746A4" w14:textId="77777777" w:rsidR="009F2F61" w:rsidRPr="009F2F61" w:rsidRDefault="009F2F61" w:rsidP="009F2F61">
      <w:pPr>
        <w:rPr>
          <w:sz w:val="28"/>
          <w:szCs w:val="28"/>
        </w:rPr>
      </w:pPr>
      <w:r w:rsidRPr="009F2F61">
        <w:rPr>
          <w:sz w:val="28"/>
          <w:szCs w:val="28"/>
        </w:rPr>
        <w:t>Calo a due cifre per gli utili netti di Allianz, penalizzata dall’epidemia di coronavirus. Nel primo trimestre, la compagnia assicurativa tedesca ha registrato un utile netto di competenza a 1,4 miliardi di euro in calo del 29% rispetto ai 2,0 miliardi di un anno fa.</w:t>
      </w:r>
    </w:p>
    <w:p w14:paraId="3EADE8E8" w14:textId="77777777" w:rsidR="00D859E9" w:rsidRPr="009F2F61" w:rsidRDefault="009F2F61" w:rsidP="009F2F61">
      <w:pPr>
        <w:rPr>
          <w:sz w:val="28"/>
          <w:szCs w:val="28"/>
        </w:rPr>
      </w:pPr>
      <w:r w:rsidRPr="009F2F61">
        <w:rPr>
          <w:sz w:val="28"/>
          <w:szCs w:val="28"/>
        </w:rPr>
        <w:t xml:space="preserve">Il </w:t>
      </w:r>
      <w:proofErr w:type="spellStart"/>
      <w:r w:rsidRPr="009F2F61">
        <w:rPr>
          <w:sz w:val="28"/>
          <w:szCs w:val="28"/>
        </w:rPr>
        <w:t>combined</w:t>
      </w:r>
      <w:proofErr w:type="spellEnd"/>
      <w:r w:rsidRPr="009F2F61">
        <w:rPr>
          <w:sz w:val="28"/>
          <w:szCs w:val="28"/>
        </w:rPr>
        <w:t xml:space="preserve"> ratio di Allianz, misura della redditività della divisione, è peggiorato al 97,8% nel primo trimestre, salendo di 4,1 punti percentuale rispetto a un anno fa.</w:t>
      </w:r>
    </w:p>
    <w:sectPr w:rsidR="00D859E9" w:rsidRPr="009F2F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61"/>
    <w:rsid w:val="009F2F61"/>
    <w:rsid w:val="00D8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03CAE"/>
  <w15:chartTrackingRefBased/>
  <w15:docId w15:val="{F38FDEC5-D60E-4AA5-9A78-9D09C159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Bonadei Alberto</dc:creator>
  <cp:keywords/>
  <dc:description/>
  <cp:lastModifiedBy>Bonadei Alberto</cp:lastModifiedBy>
  <cp:revision>1</cp:revision>
  <dcterms:created xsi:type="dcterms:W3CDTF">2020-05-12T13:30:00Z</dcterms:created>
  <dcterms:modified xsi:type="dcterms:W3CDTF">2020-05-12T13:32:00Z</dcterms:modified>
</cp:coreProperties>
</file>