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F9" w:rsidRPr="00960AF9" w:rsidRDefault="00960AF9" w:rsidP="00960AF9">
      <w:pPr>
        <w:jc w:val="center"/>
        <w:rPr>
          <w:b/>
          <w:sz w:val="32"/>
          <w:szCs w:val="32"/>
        </w:rPr>
      </w:pPr>
      <w:bookmarkStart w:id="0" w:name="_GoBack"/>
      <w:r w:rsidRPr="00960AF9">
        <w:rPr>
          <w:b/>
          <w:sz w:val="32"/>
          <w:szCs w:val="32"/>
        </w:rPr>
        <w:t xml:space="preserve">25/05/2017 </w:t>
      </w:r>
      <w:r w:rsidRPr="00960AF9">
        <w:rPr>
          <w:b/>
          <w:sz w:val="32"/>
          <w:szCs w:val="32"/>
        </w:rPr>
        <w:t xml:space="preserve"> </w:t>
      </w:r>
      <w:proofErr w:type="spellStart"/>
      <w:r w:rsidRPr="00960AF9">
        <w:rPr>
          <w:b/>
          <w:sz w:val="32"/>
          <w:szCs w:val="32"/>
        </w:rPr>
        <w:t>MiFID</w:t>
      </w:r>
      <w:proofErr w:type="spellEnd"/>
      <w:r w:rsidRPr="00960AF9">
        <w:rPr>
          <w:b/>
          <w:sz w:val="32"/>
          <w:szCs w:val="32"/>
        </w:rPr>
        <w:t xml:space="preserve"> II: il decreto leg</w:t>
      </w:r>
      <w:r w:rsidRPr="00960AF9">
        <w:rPr>
          <w:b/>
          <w:sz w:val="32"/>
          <w:szCs w:val="32"/>
        </w:rPr>
        <w:t>islativo all'esame del Senato</w:t>
      </w:r>
    </w:p>
    <w:bookmarkEnd w:id="0"/>
    <w:p w:rsidR="00960AF9" w:rsidRPr="00960AF9" w:rsidRDefault="00960AF9" w:rsidP="00960AF9">
      <w:pPr>
        <w:rPr>
          <w:sz w:val="28"/>
          <w:szCs w:val="28"/>
        </w:rPr>
      </w:pPr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• Il testo è stato approvato in via preliminare dal </w:t>
      </w:r>
      <w:proofErr w:type="spellStart"/>
      <w:r w:rsidRPr="00960AF9">
        <w:rPr>
          <w:sz w:val="28"/>
          <w:szCs w:val="28"/>
        </w:rPr>
        <w:t>Cdm</w:t>
      </w:r>
      <w:proofErr w:type="spellEnd"/>
      <w:r w:rsidRPr="00960AF9">
        <w:rPr>
          <w:sz w:val="28"/>
          <w:szCs w:val="28"/>
        </w:rPr>
        <w:t xml:space="preserve"> dello scorso 28 aprile</w:t>
      </w:r>
      <w:r w:rsidRPr="00960AF9">
        <w:rPr>
          <w:sz w:val="28"/>
          <w:szCs w:val="28"/>
        </w:rPr>
        <w:t xml:space="preserve"> è passato alla Camera</w:t>
      </w:r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•Industria divisa sull'ipotesi di estendere l'autorizzazione del servizio fuori sede anche ai </w:t>
      </w:r>
      <w:proofErr w:type="spellStart"/>
      <w:r w:rsidRPr="00960AF9">
        <w:rPr>
          <w:sz w:val="28"/>
          <w:szCs w:val="28"/>
        </w:rPr>
        <w:t>fee</w:t>
      </w:r>
      <w:proofErr w:type="spellEnd"/>
      <w:r w:rsidRPr="00960AF9">
        <w:rPr>
          <w:sz w:val="28"/>
          <w:szCs w:val="28"/>
        </w:rPr>
        <w:t xml:space="preserve"> </w:t>
      </w:r>
      <w:proofErr w:type="spellStart"/>
      <w:r w:rsidRPr="00960AF9">
        <w:rPr>
          <w:sz w:val="28"/>
          <w:szCs w:val="28"/>
        </w:rPr>
        <w:t>only</w:t>
      </w:r>
      <w:proofErr w:type="spellEnd"/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Arriva oggi sul tavolo della Commissione finanze del Senato, presieduta da Mauro Maria Marino (Pd), il testo del decreto legislativo di attuazione della </w:t>
      </w:r>
      <w:proofErr w:type="spellStart"/>
      <w:r w:rsidRPr="00960AF9">
        <w:rPr>
          <w:sz w:val="28"/>
          <w:szCs w:val="28"/>
        </w:rPr>
        <w:t>MiFID</w:t>
      </w:r>
      <w:proofErr w:type="spellEnd"/>
      <w:r w:rsidRPr="00960AF9">
        <w:rPr>
          <w:sz w:val="28"/>
          <w:szCs w:val="28"/>
        </w:rPr>
        <w:t xml:space="preserve"> II (direttiva 2014/65/UE) e di adeguamento della normativa nazionale alla </w:t>
      </w:r>
      <w:proofErr w:type="spellStart"/>
      <w:r w:rsidRPr="00960AF9">
        <w:rPr>
          <w:sz w:val="28"/>
          <w:szCs w:val="28"/>
        </w:rPr>
        <w:t>MiFIR</w:t>
      </w:r>
      <w:proofErr w:type="spellEnd"/>
      <w:r w:rsidRPr="00960AF9">
        <w:rPr>
          <w:sz w:val="28"/>
          <w:szCs w:val="28"/>
        </w:rPr>
        <w:t xml:space="preserve"> (regolamento UE 600/2014). Il testo è stato approvato in via preliminare dal </w:t>
      </w:r>
      <w:proofErr w:type="spellStart"/>
      <w:r w:rsidRPr="00960AF9">
        <w:rPr>
          <w:sz w:val="28"/>
          <w:szCs w:val="28"/>
        </w:rPr>
        <w:t>Cdm</w:t>
      </w:r>
      <w:proofErr w:type="spellEnd"/>
      <w:r w:rsidRPr="00960AF9">
        <w:rPr>
          <w:sz w:val="28"/>
          <w:szCs w:val="28"/>
        </w:rPr>
        <w:t xml:space="preserve"> dello scorso 28 aprile e ora passa al vaglio delle due Camere.</w:t>
      </w:r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 Le nuove disposizioni regolano i potenziali conflitti di interesse tra le parti e richiedono un’adeguata profilatura del risparmiatore: le imprese di investimento, infatti, dovranno attenersi a regole più stringenti per garantire ai clienti che i prodotti finanziari loro offerti siano adeguati alle loro esigenze e caratteristiche e che i beni nei quali investono siano adeguatamente protetti. </w:t>
      </w:r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>Si prevede poi che l’ESMA, l’EBA, per i depositi strutturati, e le autorità di vigilanza nazionali (</w:t>
      </w:r>
      <w:proofErr w:type="spellStart"/>
      <w:r w:rsidRPr="00960AF9">
        <w:rPr>
          <w:sz w:val="28"/>
          <w:szCs w:val="28"/>
        </w:rPr>
        <w:t>Consob</w:t>
      </w:r>
      <w:proofErr w:type="spellEnd"/>
      <w:r w:rsidRPr="00960AF9">
        <w:rPr>
          <w:sz w:val="28"/>
          <w:szCs w:val="28"/>
        </w:rPr>
        <w:t xml:space="preserve"> e Banca d’Italia) abbiano la facoltà di vietare o limitare la distribuzione di taluni prodotti finanziari. Tra le novità inserite nel testo, ricordiamo l’introduzione della consulenza “indipendente” e la possibilità per i </w:t>
      </w:r>
      <w:proofErr w:type="spellStart"/>
      <w:r w:rsidRPr="00960AF9">
        <w:rPr>
          <w:sz w:val="28"/>
          <w:szCs w:val="28"/>
        </w:rPr>
        <w:t>fee</w:t>
      </w:r>
      <w:proofErr w:type="spellEnd"/>
      <w:r w:rsidRPr="00960AF9">
        <w:rPr>
          <w:sz w:val="28"/>
          <w:szCs w:val="28"/>
        </w:rPr>
        <w:t xml:space="preserve"> </w:t>
      </w:r>
      <w:proofErr w:type="spellStart"/>
      <w:r w:rsidRPr="00960AF9">
        <w:rPr>
          <w:sz w:val="28"/>
          <w:szCs w:val="28"/>
        </w:rPr>
        <w:t>only</w:t>
      </w:r>
      <w:proofErr w:type="spellEnd"/>
      <w:r w:rsidRPr="00960AF9">
        <w:rPr>
          <w:sz w:val="28"/>
          <w:szCs w:val="28"/>
        </w:rPr>
        <w:t xml:space="preserve"> e le SCF di prestare il servizio fuori sede (articolo 30 bis) e alcune specifiche previsioni che devono essere osservate dalle imprese di investimento.</w:t>
      </w:r>
    </w:p>
    <w:p w:rsidR="00960AF9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 Particolarmente controverso è il punto dell’estensione dell’autorizzazione della prestazione del servizio fuori sede ai consulenti finanziari autonomi: </w:t>
      </w:r>
      <w:proofErr w:type="spellStart"/>
      <w:r w:rsidRPr="00960AF9">
        <w:rPr>
          <w:sz w:val="28"/>
          <w:szCs w:val="28"/>
        </w:rPr>
        <w:t>Anasf</w:t>
      </w:r>
      <w:proofErr w:type="spellEnd"/>
      <w:r w:rsidRPr="00960AF9">
        <w:rPr>
          <w:sz w:val="28"/>
          <w:szCs w:val="28"/>
        </w:rPr>
        <w:t xml:space="preserve">, che rappresenta i consulenti finanziari abilitati all’offerta fuori sede, ex promotori), e </w:t>
      </w:r>
      <w:proofErr w:type="spellStart"/>
      <w:r w:rsidRPr="00960AF9">
        <w:rPr>
          <w:sz w:val="28"/>
          <w:szCs w:val="28"/>
        </w:rPr>
        <w:t>Assoreti</w:t>
      </w:r>
      <w:proofErr w:type="spellEnd"/>
      <w:r w:rsidRPr="00960AF9">
        <w:rPr>
          <w:sz w:val="28"/>
          <w:szCs w:val="28"/>
        </w:rPr>
        <w:t xml:space="preserve">, l’associazione delle reti di CF, nei giorni scorsi hanno espresso alcune perplessità a riguardo e preferirebbero il mantenimento dello status quo, con l’abilitazione limitata ai soli ex promotori. </w:t>
      </w:r>
    </w:p>
    <w:p w:rsidR="00C71D3B" w:rsidRPr="00960AF9" w:rsidRDefault="00960AF9" w:rsidP="00960AF9">
      <w:pPr>
        <w:rPr>
          <w:sz w:val="28"/>
          <w:szCs w:val="28"/>
        </w:rPr>
      </w:pPr>
      <w:r w:rsidRPr="00960AF9">
        <w:rPr>
          <w:sz w:val="28"/>
          <w:szCs w:val="28"/>
        </w:rPr>
        <w:t xml:space="preserve">Di diverso avviso è </w:t>
      </w:r>
      <w:proofErr w:type="spellStart"/>
      <w:r w:rsidRPr="00960AF9">
        <w:rPr>
          <w:sz w:val="28"/>
          <w:szCs w:val="28"/>
        </w:rPr>
        <w:t>Ascosim</w:t>
      </w:r>
      <w:proofErr w:type="spellEnd"/>
      <w:r w:rsidRPr="00960AF9">
        <w:rPr>
          <w:sz w:val="28"/>
          <w:szCs w:val="28"/>
        </w:rPr>
        <w:t xml:space="preserve">, l’associazione delle società di consulenza, che invece vorrebbe veder allargato il perimetro dell’autorizzazione anche ai </w:t>
      </w:r>
      <w:proofErr w:type="spellStart"/>
      <w:r w:rsidRPr="00960AF9">
        <w:rPr>
          <w:sz w:val="28"/>
          <w:szCs w:val="28"/>
        </w:rPr>
        <w:t>fee</w:t>
      </w:r>
      <w:proofErr w:type="spellEnd"/>
      <w:r w:rsidRPr="00960AF9">
        <w:rPr>
          <w:sz w:val="28"/>
          <w:szCs w:val="28"/>
        </w:rPr>
        <w:t xml:space="preserve"> </w:t>
      </w:r>
      <w:proofErr w:type="spellStart"/>
      <w:r w:rsidRPr="00960AF9">
        <w:rPr>
          <w:sz w:val="28"/>
          <w:szCs w:val="28"/>
        </w:rPr>
        <w:t>only</w:t>
      </w:r>
      <w:proofErr w:type="spellEnd"/>
      <w:r w:rsidRPr="00960AF9">
        <w:rPr>
          <w:sz w:val="28"/>
          <w:szCs w:val="28"/>
        </w:rPr>
        <w:t xml:space="preserve"> e alle società di consulenza abilitate.</w:t>
      </w:r>
    </w:p>
    <w:sectPr w:rsidR="00C71D3B" w:rsidRPr="00960A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F9"/>
    <w:rsid w:val="00960AF9"/>
    <w:rsid w:val="00C7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AllianzBank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Promotore</dc:creator>
  <cp:lastModifiedBy>Promotore</cp:lastModifiedBy>
  <cp:revision>1</cp:revision>
  <dcterms:created xsi:type="dcterms:W3CDTF">2017-05-27T10:07:00Z</dcterms:created>
  <dcterms:modified xsi:type="dcterms:W3CDTF">2017-05-27T10:09:00Z</dcterms:modified>
</cp:coreProperties>
</file>